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815" w:rsidRPr="00366815" w:rsidRDefault="00366815" w:rsidP="00366815">
      <w:pPr>
        <w:widowControl/>
        <w:jc w:val="center"/>
        <w:outlineLvl w:val="1"/>
        <w:rPr>
          <w:rFonts w:ascii="宋体" w:eastAsia="宋体" w:hAnsi="宋体" w:cs="宋体"/>
          <w:b/>
          <w:bCs/>
          <w:color w:val="000000"/>
          <w:kern w:val="36"/>
          <w:sz w:val="33"/>
          <w:szCs w:val="33"/>
        </w:rPr>
      </w:pPr>
      <w:r w:rsidRPr="00366815">
        <w:rPr>
          <w:rFonts w:ascii="宋体" w:eastAsia="宋体" w:hAnsi="宋体" w:cs="宋体" w:hint="eastAsia"/>
          <w:b/>
          <w:bCs/>
          <w:color w:val="000000"/>
          <w:kern w:val="36"/>
          <w:sz w:val="33"/>
          <w:szCs w:val="33"/>
        </w:rPr>
        <w:t>关于印发《台州市污染源在线监控系统异常数据查处办法（试行）》的通知</w:t>
      </w:r>
    </w:p>
    <w:p w:rsidR="00366815" w:rsidRPr="00366815" w:rsidRDefault="00366815" w:rsidP="00366815">
      <w:pPr>
        <w:widowControl/>
        <w:spacing w:line="432" w:lineRule="auto"/>
        <w:jc w:val="center"/>
        <w:rPr>
          <w:rFonts w:ascii="宋体" w:eastAsia="宋体" w:hAnsi="宋体" w:cs="宋体" w:hint="eastAsia"/>
          <w:color w:val="807F7F"/>
          <w:kern w:val="0"/>
          <w:sz w:val="20"/>
          <w:szCs w:val="20"/>
        </w:rPr>
      </w:pPr>
      <w:r w:rsidRPr="00366815">
        <w:rPr>
          <w:rFonts w:ascii="宋体" w:eastAsia="宋体" w:hAnsi="宋体" w:cs="宋体" w:hint="eastAsia"/>
          <w:color w:val="807F7F"/>
          <w:kern w:val="0"/>
          <w:sz w:val="20"/>
          <w:szCs w:val="20"/>
        </w:rPr>
        <w:t>发布时间：2010-12-09</w:t>
      </w:r>
    </w:p>
    <w:p w:rsidR="00366815" w:rsidRPr="00366815" w:rsidRDefault="00366815" w:rsidP="00366815">
      <w:pPr>
        <w:widowControl/>
        <w:spacing w:line="432" w:lineRule="auto"/>
        <w:jc w:val="center"/>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台环保〔2010〕91号</w:t>
      </w:r>
    </w:p>
    <w:p w:rsidR="00366815" w:rsidRPr="00366815" w:rsidRDefault="00366815" w:rsidP="00366815">
      <w:pPr>
        <w:widowControl/>
        <w:spacing w:line="432" w:lineRule="auto"/>
        <w:jc w:val="center"/>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 </w:t>
      </w:r>
    </w:p>
    <w:p w:rsidR="00366815" w:rsidRPr="00366815" w:rsidRDefault="00366815" w:rsidP="00366815">
      <w:pPr>
        <w:widowControl/>
        <w:spacing w:line="432" w:lineRule="auto"/>
        <w:jc w:val="center"/>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 </w:t>
      </w:r>
    </w:p>
    <w:p w:rsidR="00366815" w:rsidRPr="00366815" w:rsidRDefault="00366815" w:rsidP="00366815">
      <w:pPr>
        <w:widowControl/>
        <w:spacing w:line="432" w:lineRule="auto"/>
        <w:jc w:val="center"/>
        <w:rPr>
          <w:rFonts w:ascii="宋体" w:eastAsia="宋体" w:hAnsi="宋体" w:cs="宋体" w:hint="eastAsia"/>
          <w:color w:val="282828"/>
          <w:kern w:val="0"/>
          <w:sz w:val="20"/>
          <w:szCs w:val="20"/>
        </w:rPr>
      </w:pPr>
      <w:bookmarkStart w:id="0" w:name="zhusong"/>
      <w:bookmarkStart w:id="1" w:name="biaoti"/>
      <w:bookmarkStart w:id="2" w:name="chaosong"/>
      <w:bookmarkEnd w:id="0"/>
      <w:bookmarkEnd w:id="1"/>
      <w:bookmarkEnd w:id="2"/>
      <w:r w:rsidRPr="00366815">
        <w:rPr>
          <w:rFonts w:ascii="宋体" w:eastAsia="宋体" w:hAnsi="宋体" w:cs="宋体" w:hint="eastAsia"/>
          <w:b/>
          <w:bCs/>
          <w:color w:val="282828"/>
          <w:kern w:val="0"/>
          <w:sz w:val="20"/>
          <w:szCs w:val="20"/>
        </w:rPr>
        <w:t>关于印发《台州市污染源在线监控系统</w:t>
      </w:r>
    </w:p>
    <w:p w:rsidR="00366815" w:rsidRPr="00366815" w:rsidRDefault="00366815" w:rsidP="00366815">
      <w:pPr>
        <w:widowControl/>
        <w:spacing w:line="432" w:lineRule="auto"/>
        <w:jc w:val="center"/>
        <w:rPr>
          <w:rFonts w:ascii="宋体" w:eastAsia="宋体" w:hAnsi="宋体" w:cs="宋体" w:hint="eastAsia"/>
          <w:color w:val="282828"/>
          <w:kern w:val="0"/>
          <w:sz w:val="20"/>
          <w:szCs w:val="20"/>
        </w:rPr>
      </w:pPr>
      <w:r w:rsidRPr="00366815">
        <w:rPr>
          <w:rFonts w:ascii="宋体" w:eastAsia="宋体" w:hAnsi="宋体" w:cs="宋体" w:hint="eastAsia"/>
          <w:b/>
          <w:bCs/>
          <w:color w:val="282828"/>
          <w:kern w:val="0"/>
          <w:sz w:val="20"/>
          <w:szCs w:val="20"/>
        </w:rPr>
        <w:t>异常数据查处办法（试行）》的通知</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 </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各县、市、区环保局（分局）,机关各处室：</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   为加强对污染源在线监控系统的应用，充分发挥其在实时监管排污企业和提高环境执法效能方面的作用，提高异常数据的响应能力，及时查处企业违法排污行为，根据《污染源自动监控管理办法》(国家环境保护总局令第28号)和《台州市污染源在线监控系统运行维护管理暂行办法》（台环保〔2009〕95号）相关规定，结合我市工作实际，我局制定了《台州市污染源在线监控系统异常数据查处办法（试行）》。现印发给你们，请认真贯彻落实。</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 </w:t>
      </w:r>
    </w:p>
    <w:p w:rsidR="00366815" w:rsidRPr="00366815" w:rsidRDefault="00366815" w:rsidP="00366815">
      <w:pPr>
        <w:widowControl/>
        <w:spacing w:line="432" w:lineRule="auto"/>
        <w:jc w:val="righ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二O一O年七月二日</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b/>
          <w:bCs/>
          <w:color w:val="282828"/>
          <w:kern w:val="0"/>
          <w:sz w:val="20"/>
          <w:szCs w:val="20"/>
        </w:rPr>
        <w:t>主题词：</w:t>
      </w:r>
      <w:r w:rsidRPr="00366815">
        <w:rPr>
          <w:rFonts w:ascii="宋体" w:eastAsia="宋体" w:hAnsi="宋体" w:cs="宋体" w:hint="eastAsia"/>
          <w:color w:val="282828"/>
          <w:kern w:val="0"/>
          <w:sz w:val="20"/>
          <w:szCs w:val="20"/>
        </w:rPr>
        <w:t>环保  在线监控 查处 办法</w:t>
      </w:r>
    </w:p>
    <w:tbl>
      <w:tblPr>
        <w:tblW w:w="92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366815" w:rsidRPr="00366815" w:rsidTr="00366815">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抄送：省环境保护厅,省环境监察总队,市环境监察支队,市环境监测中心站,市环科院。</w:t>
            </w:r>
          </w:p>
        </w:tc>
      </w:tr>
      <w:tr w:rsidR="00366815" w:rsidRPr="00366815" w:rsidTr="00366815">
        <w:trPr>
          <w:tblCellSpacing w:w="0" w:type="dxa"/>
        </w:trPr>
        <w:tc>
          <w:tcPr>
            <w:tcW w:w="9285" w:type="dxa"/>
            <w:tcBorders>
              <w:top w:val="outset" w:sz="6" w:space="0" w:color="auto"/>
              <w:left w:val="outset" w:sz="6" w:space="0" w:color="auto"/>
              <w:bottom w:val="outset" w:sz="6" w:space="0" w:color="auto"/>
              <w:right w:val="outset" w:sz="6" w:space="0" w:color="auto"/>
            </w:tcBorders>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台州市环境保护局办公室              2010年7月2日印发</w:t>
            </w:r>
          </w:p>
        </w:tc>
      </w:tr>
    </w:tbl>
    <w:p w:rsidR="00366815" w:rsidRPr="00366815" w:rsidRDefault="00366815" w:rsidP="00366815">
      <w:pPr>
        <w:widowControl/>
        <w:spacing w:line="432" w:lineRule="auto"/>
        <w:jc w:val="center"/>
        <w:rPr>
          <w:rFonts w:ascii="宋体" w:eastAsia="宋体" w:hAnsi="宋体" w:cs="宋体" w:hint="eastAsia"/>
          <w:color w:val="282828"/>
          <w:kern w:val="0"/>
          <w:sz w:val="20"/>
          <w:szCs w:val="20"/>
        </w:rPr>
      </w:pPr>
      <w:r w:rsidRPr="00366815">
        <w:rPr>
          <w:rFonts w:ascii="宋体" w:eastAsia="宋体" w:hAnsi="宋体" w:cs="宋体" w:hint="eastAsia"/>
          <w:b/>
          <w:bCs/>
          <w:color w:val="282828"/>
          <w:kern w:val="0"/>
          <w:sz w:val="20"/>
          <w:szCs w:val="20"/>
        </w:rPr>
        <w:t>台州市污染源在线监控系统异常数据查处办法（试行）</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 </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第一条 为加强对污染源在线监控系统的应用，充分发挥其在实时监管排污企业和提高环境执法效能方面的作用，提高异常数据的响应能力，及时查处企业违法排污行为，根据《污染源自动监</w:t>
      </w:r>
      <w:r w:rsidRPr="00366815">
        <w:rPr>
          <w:rFonts w:ascii="宋体" w:eastAsia="宋体" w:hAnsi="宋体" w:cs="宋体" w:hint="eastAsia"/>
          <w:color w:val="282828"/>
          <w:kern w:val="0"/>
          <w:sz w:val="20"/>
          <w:szCs w:val="20"/>
        </w:rPr>
        <w:lastRenderedPageBreak/>
        <w:t>控管理办法》(国家环境保护总局令第28号)和《台州市污染源在线监控系统运行维护管理暂行办法》（台环保〔2009〕95号）相关规定，结合我市工作实际，制定本办法。</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第二条 本办法适用于我市所有已安装污染源在线监控系统并成功联网的企业。日常环保监管、飞行监测和专项行动不受本办法的限制。</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第三条 各县（市、区）污染源在线监控系统信息的监控、统计汇总、异常数据报警发布由当地环保局统一负责实施，应确保及时发现异常数据并及时响应。</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第四条 异常数据报警信息的处理分为提示、警告、查处等三种形式。</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第五条 污染源在线监控日监控时段为每日0：00时到次日0：00时。各县（市、区）环保局（分局）应指派专人每天至少巡查网络平台一次，并负责污染源在线监控系统异常数据的筛选和统计，每天向辖区内联网企业发布前一天的异常数据报警情况。</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第六条 市环保局每周对全市范围内的污染源在线监控网络平台巡检一次，统计前一周异常数据报警信息，并及时以《台州市污染源在线监测系统运维周报》的方式向各县（市、区）环保局（分局）反馈。各县（市、区）环保局（分局）要对周报中涉及的超标企业进行及时调查，于一周内上报调查报告（盖章），说明超标的原因及拟采取的处罚措施。</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市环保局根据各地查处情况，将不定期进行通报。</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第七条 异常数据的认定及处理：以监控时段内企业废水污染物（PH、COD、TN、TP）、废气污染物（折算SO</w:t>
      </w:r>
      <w:r w:rsidRPr="00366815">
        <w:rPr>
          <w:rFonts w:ascii="宋体" w:eastAsia="宋体" w:hAnsi="宋体" w:cs="宋体" w:hint="eastAsia"/>
          <w:color w:val="282828"/>
          <w:kern w:val="0"/>
          <w:sz w:val="20"/>
          <w:szCs w:val="20"/>
          <w:vertAlign w:val="subscript"/>
        </w:rPr>
        <w:t>2</w:t>
      </w:r>
      <w:r w:rsidRPr="00366815">
        <w:rPr>
          <w:rFonts w:ascii="宋体" w:eastAsia="宋体" w:hAnsi="宋体" w:cs="宋体" w:hint="eastAsia"/>
          <w:color w:val="282828"/>
          <w:kern w:val="0"/>
          <w:sz w:val="20"/>
          <w:szCs w:val="20"/>
        </w:rPr>
        <w:t>、折算烟尘）在线监控排放浓度时均值为依据进行认定，时均值超过污染源在线监控网络平台报警浓度上限或者小于该站点上月平均值50%或者长时间不变（一组相同的时均值数据，从第25个开始为异常数据）（详见附件一）的认定为异常数据。异常数据分三类形式进行处理：</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（一）提示：一天内1次异常的，由当地环保局（分局）报警信息发布人提示企业负责人和环保负责人。</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（二）警告：一天内2次异常的，由当地环保局（分局）报警信息发布人在警告企业负责人、环保负责人的同时，报告局分管领导。</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lastRenderedPageBreak/>
        <w:t>（三）查处：一天内3次及以上异常的，进行最后一次异常报警自动留样，各县（市、区）环保局（分局）及时落实环境监察和监测人员赶赴现场监察和对自动留样进行采样监测，人工采样结果超标的给予相应处罚；在线监测数据和人工采样监测数据误差超过规定要求的，要通知运维单位对仪器设备进行维护。同时，填写《台州市污染源在线监控系统异常数据处理情况报告单》（详见附件二）于每月10号前汇总上报上月异常数据查处情况至市环保局。</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市环保局根据实际情况和监管需要，可直接执行查处。</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第八条 对于污染源在线监控系统不具备超标自动留样功能的企业，各地环保局应根据企业日常超标排污频次，责令其逐步更换仪器设备，实现超标自动留样。</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第九条 各种异常数据处理时，需通知运维单位排查在线监控仪器故障。若检出由于仪器故障引起数据超标，则督促运维公司及时安排人员检修，确保仪器得到及时修复，保证在线监控系统稳定运行。</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对于容易诊断的常见故障，运维公司的维修时间不应超过24小时；对不易诊断或维修的仪器故障，应在48小时之内恢复在线监测设备正常运行；若72小时之内无法排除故障，则使用备机。故障排除后仪器正常运行前应进行一次校验和比对试验，合格后向当地环保局提交测试报告并申请进入正常运行状态。站点设施在故障排除期间，要进行人工采样监测，每日不少于4次，间隔不得超过6小时，数据每日定时报送至当地环保局。</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第十条 企业污染源在线监控数据超标被查处的应尽快查明原因，及时进行认真整改；逾期不整改或者整改不到位，在线数据仍持续超标的应从重处罚，并纳入日常环保重点监管对象，增加对其飞行监测、监督性监测和执法检查的频次。</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第十一条 被查处的企业应进一步加强在线监控系统网上巡查工作，及时掌握自身排污状况，加强生产全过程和污染防治设施的管理，确保污染物达标排放。</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第十二条 企业由于停产、改造或因污染源在线监控设备维修、更换等原因需要停运在线监控设施的，应及时向原验收环保部门提出申请并提交《台州市污染源在线监控设施停运申请表》（详见附件三），环保部门收到企业申请后应及时到现场核实并在7日内予以批复，同时抄送市环保局备案。</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lastRenderedPageBreak/>
        <w:t>停运期间，应继续开展仪器的日常维护，做好化学药品的管理。长期停运后恢复监控需求的，在站点重启前须进行调试，达到验收要求后向当地环保部门申请重启。</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第十三条 本办法由台州市环境保护局负责解释。</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第十四条 本办法自印发之日起施行。</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 </w:t>
      </w:r>
    </w:p>
    <w:p w:rsidR="00366815" w:rsidRPr="00366815" w:rsidRDefault="00366815" w:rsidP="00366815">
      <w:pPr>
        <w:widowControl/>
        <w:jc w:val="left"/>
        <w:rPr>
          <w:rFonts w:ascii="宋体" w:eastAsia="宋体" w:hAnsi="宋体" w:cs="宋体" w:hint="eastAsia"/>
          <w:kern w:val="0"/>
          <w:sz w:val="18"/>
          <w:szCs w:val="18"/>
        </w:rPr>
      </w:pPr>
      <w:r w:rsidRPr="00366815">
        <w:rPr>
          <w:rFonts w:ascii="宋体" w:eastAsia="宋体" w:hAnsi="宋体" w:cs="宋体" w:hint="eastAsia"/>
          <w:kern w:val="0"/>
          <w:sz w:val="18"/>
          <w:szCs w:val="18"/>
        </w:rPr>
        <w:br w:type="textWrapping" w:clear="all"/>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附件一：</w:t>
      </w:r>
    </w:p>
    <w:p w:rsidR="00366815" w:rsidRPr="00366815" w:rsidRDefault="00366815" w:rsidP="00366815">
      <w:pPr>
        <w:widowControl/>
        <w:spacing w:line="432" w:lineRule="auto"/>
        <w:jc w:val="center"/>
        <w:rPr>
          <w:rFonts w:ascii="宋体" w:eastAsia="宋体" w:hAnsi="宋体" w:cs="宋体" w:hint="eastAsia"/>
          <w:color w:val="282828"/>
          <w:kern w:val="0"/>
          <w:sz w:val="20"/>
          <w:szCs w:val="20"/>
        </w:rPr>
      </w:pPr>
      <w:r w:rsidRPr="00366815">
        <w:rPr>
          <w:rFonts w:ascii="宋体" w:eastAsia="宋体" w:hAnsi="宋体" w:cs="宋体" w:hint="eastAsia"/>
          <w:b/>
          <w:bCs/>
          <w:color w:val="282828"/>
          <w:kern w:val="0"/>
          <w:sz w:val="20"/>
          <w:szCs w:val="20"/>
        </w:rPr>
        <w:t>台州市污染源在线监控网络平台报警浓度调整说明</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 </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根据《关于切实做好污染源在线监控系统运行维护工作的通知》（浙环发〔2009〕16号）的要求，对一天内发生三次及以上站点数据异常（监测数据大于该站点排放标准1.5倍或小于该站点上月平均值50%的为异常数据）报警的，要落实环境监察和监测人员进行现场监察和采样监测，确认超标的要给予行政处罚。为及时有效查处在线监控数据异常的企业，提高执法效能，推进在线监控系统在环境监管方面的应用，结合我市工作实际和在线监控系统运维经验，现调整在线监控系统报警浓度如下：</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台州市污染源在线监控系统网络平台报警浓度调整表</w:t>
      </w:r>
    </w:p>
    <w:tbl>
      <w:tblPr>
        <w:tblW w:w="9015" w:type="dxa"/>
        <w:tblCellSpacing w:w="0" w:type="dxa"/>
        <w:tblCellMar>
          <w:left w:w="0" w:type="dxa"/>
          <w:right w:w="0" w:type="dxa"/>
        </w:tblCellMar>
        <w:tblLook w:val="04A0" w:firstRow="1" w:lastRow="0" w:firstColumn="1" w:lastColumn="0" w:noHBand="0" w:noVBand="1"/>
      </w:tblPr>
      <w:tblGrid>
        <w:gridCol w:w="1059"/>
        <w:gridCol w:w="1871"/>
        <w:gridCol w:w="5905"/>
        <w:gridCol w:w="180"/>
      </w:tblGrid>
      <w:tr w:rsidR="00366815" w:rsidRPr="00366815" w:rsidTr="00366815">
        <w:trPr>
          <w:trHeight w:val="285"/>
          <w:tblCellSpacing w:w="0" w:type="dxa"/>
        </w:trPr>
        <w:tc>
          <w:tcPr>
            <w:tcW w:w="1080" w:type="dxa"/>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类型</w:t>
            </w:r>
          </w:p>
        </w:tc>
        <w:tc>
          <w:tcPr>
            <w:tcW w:w="1905" w:type="dxa"/>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监控指标</w:t>
            </w:r>
          </w:p>
        </w:tc>
        <w:tc>
          <w:tcPr>
            <w:tcW w:w="6030" w:type="dxa"/>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报警浓度调整</w:t>
            </w: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r w:rsidR="00366815" w:rsidRPr="00366815" w:rsidTr="00366815">
        <w:trPr>
          <w:trHeight w:val="285"/>
          <w:tblCellSpacing w:w="0" w:type="dxa"/>
        </w:trPr>
        <w:tc>
          <w:tcPr>
            <w:tcW w:w="1080" w:type="dxa"/>
            <w:vMerge w:val="restart"/>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废水</w:t>
            </w:r>
          </w:p>
        </w:tc>
        <w:tc>
          <w:tcPr>
            <w:tcW w:w="1905" w:type="dxa"/>
            <w:vMerge w:val="restart"/>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COD</w:t>
            </w:r>
          </w:p>
        </w:tc>
        <w:tc>
          <w:tcPr>
            <w:tcW w:w="6030" w:type="dxa"/>
            <w:vAlign w:val="center"/>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原标准为0—100mg/l，调整为原标准的150%</w:t>
            </w: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r w:rsidR="00366815" w:rsidRPr="00366815" w:rsidTr="00366815">
        <w:trPr>
          <w:trHeight w:val="285"/>
          <w:tblCellSpacing w:w="0" w:type="dxa"/>
        </w:trPr>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6030" w:type="dxa"/>
            <w:vAlign w:val="center"/>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原标准为101—300mg/l，调整为原标准的130%</w:t>
            </w: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r w:rsidR="00366815" w:rsidRPr="00366815" w:rsidTr="00366815">
        <w:trPr>
          <w:trHeight w:val="285"/>
          <w:tblCellSpacing w:w="0" w:type="dxa"/>
        </w:trPr>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6030" w:type="dxa"/>
            <w:vAlign w:val="center"/>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原标准为301—500mg/l的，调整为原标准的120%</w:t>
            </w: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r w:rsidR="00366815" w:rsidRPr="00366815" w:rsidTr="00366815">
        <w:trPr>
          <w:trHeight w:val="285"/>
          <w:tblCellSpacing w:w="0" w:type="dxa"/>
        </w:trPr>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1905" w:type="dxa"/>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PH</w:t>
            </w:r>
          </w:p>
        </w:tc>
        <w:tc>
          <w:tcPr>
            <w:tcW w:w="6030" w:type="dxa"/>
            <w:vAlign w:val="center"/>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上下浮动0.5即5.5—9.5</w:t>
            </w: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r w:rsidR="00366815" w:rsidRPr="00366815" w:rsidTr="00366815">
        <w:trPr>
          <w:trHeight w:val="285"/>
          <w:tblCellSpacing w:w="0" w:type="dxa"/>
        </w:trPr>
        <w:tc>
          <w:tcPr>
            <w:tcW w:w="1080" w:type="dxa"/>
            <w:vMerge w:val="restart"/>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废气</w:t>
            </w:r>
          </w:p>
        </w:tc>
        <w:tc>
          <w:tcPr>
            <w:tcW w:w="1905" w:type="dxa"/>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折算SO2</w:t>
            </w:r>
          </w:p>
        </w:tc>
        <w:tc>
          <w:tcPr>
            <w:tcW w:w="6030" w:type="dxa"/>
            <w:vAlign w:val="center"/>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不变</w:t>
            </w: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r w:rsidR="00366815" w:rsidRPr="00366815" w:rsidTr="00366815">
        <w:trPr>
          <w:trHeight w:val="285"/>
          <w:tblCellSpacing w:w="0" w:type="dxa"/>
        </w:trPr>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1905" w:type="dxa"/>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折算烟尘</w:t>
            </w:r>
          </w:p>
        </w:tc>
        <w:tc>
          <w:tcPr>
            <w:tcW w:w="6030" w:type="dxa"/>
            <w:vAlign w:val="center"/>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调整为原标准200%</w:t>
            </w: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r w:rsidR="00366815" w:rsidRPr="00366815" w:rsidTr="00366815">
        <w:trPr>
          <w:trHeight w:val="630"/>
          <w:tblCellSpacing w:w="0" w:type="dxa"/>
        </w:trPr>
        <w:tc>
          <w:tcPr>
            <w:tcW w:w="1080" w:type="dxa"/>
            <w:vMerge w:val="restart"/>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污水厂</w:t>
            </w:r>
          </w:p>
        </w:tc>
        <w:tc>
          <w:tcPr>
            <w:tcW w:w="1905" w:type="dxa"/>
            <w:vMerge w:val="restart"/>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COD、PH、TP、TN</w:t>
            </w:r>
          </w:p>
        </w:tc>
        <w:tc>
          <w:tcPr>
            <w:tcW w:w="6030" w:type="dxa"/>
            <w:vMerge w:val="restart"/>
            <w:vAlign w:val="center"/>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均不变</w:t>
            </w: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r w:rsidR="00366815" w:rsidRPr="00366815" w:rsidTr="00366815">
        <w:trPr>
          <w:trHeight w:val="315"/>
          <w:tblCellSpacing w:w="0" w:type="dxa"/>
        </w:trPr>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r w:rsidR="00366815" w:rsidRPr="00366815" w:rsidTr="00366815">
        <w:trPr>
          <w:trHeight w:val="315"/>
          <w:tblCellSpacing w:w="0" w:type="dxa"/>
        </w:trPr>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r w:rsidR="00366815" w:rsidRPr="00366815" w:rsidTr="00366815">
        <w:trPr>
          <w:trHeight w:val="315"/>
          <w:tblCellSpacing w:w="0" w:type="dxa"/>
        </w:trPr>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Align w:val="center"/>
            <w:hideMark/>
          </w:tcPr>
          <w:p w:rsidR="00366815" w:rsidRPr="00366815" w:rsidRDefault="00366815" w:rsidP="00366815">
            <w:pPr>
              <w:widowControl/>
              <w:jc w:val="left"/>
              <w:rPr>
                <w:rFonts w:ascii="宋体" w:eastAsia="宋体" w:hAnsi="宋体" w:cs="宋体"/>
                <w:kern w:val="0"/>
                <w:sz w:val="18"/>
                <w:szCs w:val="18"/>
              </w:rPr>
            </w:pPr>
            <w:r w:rsidRPr="00366815">
              <w:rPr>
                <w:rFonts w:ascii="宋体" w:eastAsia="宋体" w:hAnsi="宋体" w:cs="宋体" w:hint="eastAsia"/>
                <w:kern w:val="0"/>
                <w:sz w:val="18"/>
                <w:szCs w:val="18"/>
              </w:rPr>
              <w:t> </w:t>
            </w:r>
          </w:p>
        </w:tc>
      </w:tr>
    </w:tbl>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由于平台功能限制，小于该站点上月平均值50%以及长时间不变（一组相同的时均值数据，从第25个开始为异常数据）的异常数据须根据实时数据人工判断。</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 </w:t>
      </w:r>
    </w:p>
    <w:p w:rsidR="00366815" w:rsidRPr="00366815" w:rsidRDefault="00366815" w:rsidP="00366815">
      <w:pPr>
        <w:widowControl/>
        <w:jc w:val="left"/>
        <w:rPr>
          <w:rFonts w:ascii="宋体" w:eastAsia="宋体" w:hAnsi="宋体" w:cs="宋体" w:hint="eastAsia"/>
          <w:kern w:val="0"/>
          <w:sz w:val="18"/>
          <w:szCs w:val="18"/>
        </w:rPr>
      </w:pPr>
      <w:r w:rsidRPr="00366815">
        <w:rPr>
          <w:rFonts w:ascii="宋体" w:eastAsia="宋体" w:hAnsi="宋体" w:cs="宋体" w:hint="eastAsia"/>
          <w:kern w:val="0"/>
          <w:sz w:val="18"/>
          <w:szCs w:val="18"/>
        </w:rPr>
        <w:br w:type="textWrapping" w:clear="all"/>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附件二：</w:t>
      </w:r>
    </w:p>
    <w:tbl>
      <w:tblPr>
        <w:tblpPr w:leftFromText="45" w:rightFromText="45" w:vertAnchor="text"/>
        <w:tblW w:w="1450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4"/>
        <w:gridCol w:w="2411"/>
        <w:gridCol w:w="719"/>
        <w:gridCol w:w="719"/>
        <w:gridCol w:w="1439"/>
        <w:gridCol w:w="719"/>
        <w:gridCol w:w="1199"/>
        <w:gridCol w:w="854"/>
        <w:gridCol w:w="1005"/>
        <w:gridCol w:w="4796"/>
      </w:tblGrid>
      <w:tr w:rsidR="00366815" w:rsidRPr="00366815" w:rsidTr="00366815">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序号</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站点名称</w:t>
            </w:r>
          </w:p>
        </w:tc>
        <w:tc>
          <w:tcPr>
            <w:tcW w:w="720" w:type="dxa"/>
            <w:vMerge w:val="restart"/>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监测指标</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异常报警时刻点</w:t>
            </w:r>
          </w:p>
        </w:tc>
        <w:tc>
          <w:tcPr>
            <w:tcW w:w="2775" w:type="dxa"/>
            <w:gridSpan w:val="3"/>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现场采样监测时刻点</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异常(A)仪器(B)皆有(C)</w:t>
            </w:r>
          </w:p>
        </w:tc>
        <w:tc>
          <w:tcPr>
            <w:tcW w:w="4785" w:type="dxa"/>
            <w:vMerge w:val="restart"/>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如何处理及处理结果</w:t>
            </w:r>
          </w:p>
        </w:tc>
      </w:tr>
      <w:tr w:rsidR="00366815" w:rsidRPr="00366815" w:rsidTr="003668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平台读数</w:t>
            </w:r>
          </w:p>
        </w:tc>
        <w:tc>
          <w:tcPr>
            <w:tcW w:w="14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时  间</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仪器读数</w:t>
            </w:r>
          </w:p>
        </w:tc>
        <w:tc>
          <w:tcPr>
            <w:tcW w:w="120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时  间</w:t>
            </w:r>
          </w:p>
        </w:tc>
        <w:tc>
          <w:tcPr>
            <w:tcW w:w="8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实验室分析值</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jc w:val="left"/>
              <w:rPr>
                <w:rFonts w:ascii="宋体" w:eastAsia="宋体" w:hAnsi="宋体" w:cs="宋体"/>
                <w:color w:val="282828"/>
                <w:kern w:val="0"/>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jc w:val="left"/>
              <w:rPr>
                <w:rFonts w:ascii="宋体" w:eastAsia="宋体" w:hAnsi="宋体" w:cs="宋体"/>
                <w:color w:val="282828"/>
                <w:kern w:val="0"/>
                <w:sz w:val="20"/>
                <w:szCs w:val="20"/>
              </w:rPr>
            </w:pPr>
          </w:p>
        </w:tc>
      </w:tr>
      <w:tr w:rsidR="00366815" w:rsidRPr="00366815" w:rsidTr="0036681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241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478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241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478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241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478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241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478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241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478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241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478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241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478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241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72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20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84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00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478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trPr>
        <w:tc>
          <w:tcPr>
            <w:tcW w:w="3060"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填 报 单 位 名 称</w:t>
            </w:r>
          </w:p>
        </w:tc>
        <w:tc>
          <w:tcPr>
            <w:tcW w:w="3600" w:type="dxa"/>
            <w:gridSpan w:val="4"/>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205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填报时间</w:t>
            </w:r>
          </w:p>
        </w:tc>
        <w:tc>
          <w:tcPr>
            <w:tcW w:w="580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年        月       日</w:t>
            </w:r>
          </w:p>
        </w:tc>
      </w:tr>
    </w:tbl>
    <w:p w:rsidR="00366815" w:rsidRPr="00366815" w:rsidRDefault="00366815" w:rsidP="00366815">
      <w:pPr>
        <w:widowControl/>
        <w:spacing w:line="432" w:lineRule="auto"/>
        <w:jc w:val="center"/>
        <w:rPr>
          <w:rFonts w:ascii="宋体" w:eastAsia="宋体" w:hAnsi="宋体" w:cs="宋体" w:hint="eastAsia"/>
          <w:color w:val="282828"/>
          <w:kern w:val="0"/>
          <w:sz w:val="20"/>
          <w:szCs w:val="20"/>
        </w:rPr>
      </w:pPr>
      <w:r w:rsidRPr="00366815">
        <w:rPr>
          <w:rFonts w:ascii="宋体" w:eastAsia="宋体" w:hAnsi="宋体" w:cs="宋体" w:hint="eastAsia"/>
          <w:b/>
          <w:bCs/>
          <w:color w:val="282828"/>
          <w:kern w:val="0"/>
          <w:sz w:val="20"/>
          <w:szCs w:val="20"/>
        </w:rPr>
        <w:t>台州市污染源在线监控系统异常数据处理情况报告单</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备注：异常（A）指仪器正常而排放异常，仪器（B）指仪器偏差而排放正常，皆有（C）指两者都有；处理一栏简要填写。</w:t>
      </w:r>
    </w:p>
    <w:p w:rsidR="00366815" w:rsidRPr="00366815" w:rsidRDefault="00366815" w:rsidP="00366815">
      <w:pPr>
        <w:widowControl/>
        <w:jc w:val="left"/>
        <w:rPr>
          <w:rFonts w:ascii="宋体" w:eastAsia="宋体" w:hAnsi="宋体" w:cs="宋体" w:hint="eastAsia"/>
          <w:kern w:val="0"/>
          <w:sz w:val="18"/>
          <w:szCs w:val="18"/>
        </w:rPr>
      </w:pPr>
      <w:r w:rsidRPr="00366815">
        <w:rPr>
          <w:rFonts w:ascii="宋体" w:eastAsia="宋体" w:hAnsi="宋体" w:cs="宋体" w:hint="eastAsia"/>
          <w:kern w:val="0"/>
          <w:sz w:val="18"/>
          <w:szCs w:val="18"/>
        </w:rPr>
        <w:br w:type="textWrapping" w:clear="all"/>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附件三：</w:t>
      </w:r>
    </w:p>
    <w:p w:rsidR="00366815" w:rsidRPr="00366815" w:rsidRDefault="00366815" w:rsidP="00366815">
      <w:pPr>
        <w:widowControl/>
        <w:spacing w:line="432" w:lineRule="auto"/>
        <w:jc w:val="center"/>
        <w:rPr>
          <w:rFonts w:ascii="宋体" w:eastAsia="宋体" w:hAnsi="宋体" w:cs="宋体" w:hint="eastAsia"/>
          <w:color w:val="282828"/>
          <w:kern w:val="0"/>
          <w:sz w:val="20"/>
          <w:szCs w:val="20"/>
        </w:rPr>
      </w:pPr>
      <w:r w:rsidRPr="00366815">
        <w:rPr>
          <w:rFonts w:ascii="宋体" w:eastAsia="宋体" w:hAnsi="宋体" w:cs="宋体" w:hint="eastAsia"/>
          <w:b/>
          <w:bCs/>
          <w:color w:val="282828"/>
          <w:kern w:val="0"/>
          <w:sz w:val="20"/>
          <w:szCs w:val="20"/>
        </w:rPr>
        <w:t>台州市污染源在线监控设施停运申请表</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b/>
          <w:bCs/>
          <w:color w:val="282828"/>
          <w:kern w:val="0"/>
          <w:sz w:val="20"/>
          <w:szCs w:val="20"/>
        </w:rPr>
        <w:lastRenderedPageBreak/>
        <w:t> </w:t>
      </w:r>
    </w:p>
    <w:tbl>
      <w:tblPr>
        <w:tblW w:w="943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0"/>
        <w:gridCol w:w="842"/>
        <w:gridCol w:w="572"/>
        <w:gridCol w:w="1679"/>
        <w:gridCol w:w="1341"/>
        <w:gridCol w:w="338"/>
        <w:gridCol w:w="1801"/>
        <w:gridCol w:w="1377"/>
        <w:gridCol w:w="30"/>
        <w:gridCol w:w="1350"/>
      </w:tblGrid>
      <w:tr w:rsidR="00366815" w:rsidRPr="00366815" w:rsidTr="00366815">
        <w:trPr>
          <w:tblCellSpacing w:w="0" w:type="dxa"/>
          <w:jc w:val="center"/>
        </w:trPr>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企业名称</w:t>
            </w:r>
          </w:p>
        </w:tc>
        <w:tc>
          <w:tcPr>
            <w:tcW w:w="5235" w:type="dxa"/>
            <w:gridSpan w:val="5"/>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 </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法人代表</w:t>
            </w:r>
          </w:p>
        </w:tc>
        <w:tc>
          <w:tcPr>
            <w:tcW w:w="136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jc w:val="center"/>
        </w:trPr>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停运性质</w:t>
            </w:r>
          </w:p>
        </w:tc>
        <w:tc>
          <w:tcPr>
            <w:tcW w:w="5235" w:type="dxa"/>
            <w:gridSpan w:val="5"/>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短期（3个月以内）     □ 长期（超过3个月）</w:t>
            </w:r>
          </w:p>
        </w:tc>
        <w:tc>
          <w:tcPr>
            <w:tcW w:w="142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联系电话</w:t>
            </w:r>
          </w:p>
        </w:tc>
        <w:tc>
          <w:tcPr>
            <w:tcW w:w="136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jc w:val="center"/>
        </w:trPr>
        <w:tc>
          <w:tcPr>
            <w:tcW w:w="1935" w:type="dxa"/>
            <w:gridSpan w:val="3"/>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申请停运起止时间</w:t>
            </w:r>
          </w:p>
        </w:tc>
        <w:tc>
          <w:tcPr>
            <w:tcW w:w="7515" w:type="dxa"/>
            <w:gridSpan w:val="7"/>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jc w:val="center"/>
        </w:trPr>
        <w:tc>
          <w:tcPr>
            <w:tcW w:w="1935" w:type="dxa"/>
            <w:gridSpan w:val="3"/>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停运设备名称</w:t>
            </w:r>
          </w:p>
        </w:tc>
        <w:tc>
          <w:tcPr>
            <w:tcW w:w="141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数量</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备注</w:t>
            </w:r>
          </w:p>
        </w:tc>
        <w:tc>
          <w:tcPr>
            <w:tcW w:w="165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停运设备名称</w:t>
            </w:r>
          </w:p>
        </w:tc>
        <w:tc>
          <w:tcPr>
            <w:tcW w:w="139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数量</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b/>
                <w:bCs/>
                <w:color w:val="282828"/>
                <w:kern w:val="0"/>
                <w:sz w:val="20"/>
                <w:szCs w:val="20"/>
              </w:rPr>
              <w:t>备注</w:t>
            </w:r>
          </w:p>
        </w:tc>
      </w:tr>
      <w:tr w:rsidR="00366815" w:rsidRPr="00366815" w:rsidTr="00366815">
        <w:trPr>
          <w:tblCellSpacing w:w="0" w:type="dxa"/>
          <w:jc w:val="center"/>
        </w:trPr>
        <w:tc>
          <w:tcPr>
            <w:tcW w:w="1935" w:type="dxa"/>
            <w:gridSpan w:val="3"/>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jc w:val="center"/>
        </w:trPr>
        <w:tc>
          <w:tcPr>
            <w:tcW w:w="1935" w:type="dxa"/>
            <w:gridSpan w:val="3"/>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jc w:val="center"/>
        </w:trPr>
        <w:tc>
          <w:tcPr>
            <w:tcW w:w="1935" w:type="dxa"/>
            <w:gridSpan w:val="3"/>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jc w:val="center"/>
        </w:trPr>
        <w:tc>
          <w:tcPr>
            <w:tcW w:w="1935" w:type="dxa"/>
            <w:gridSpan w:val="3"/>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41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650"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650"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39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c>
          <w:tcPr>
            <w:tcW w:w="1395" w:type="dxa"/>
            <w:gridSpan w:val="2"/>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w:t>
            </w:r>
          </w:p>
        </w:tc>
      </w:tr>
      <w:tr w:rsidR="00366815" w:rsidRPr="00366815" w:rsidTr="00366815">
        <w:trPr>
          <w:tblCellSpacing w:w="0"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申请停运原因</w:t>
            </w:r>
          </w:p>
        </w:tc>
        <w:tc>
          <w:tcPr>
            <w:tcW w:w="9015" w:type="dxa"/>
            <w:gridSpan w:val="9"/>
            <w:tcBorders>
              <w:top w:val="outset" w:sz="6" w:space="0" w:color="auto"/>
              <w:left w:val="outset" w:sz="6" w:space="0" w:color="auto"/>
              <w:bottom w:val="outset" w:sz="6" w:space="0" w:color="auto"/>
              <w:right w:val="outset" w:sz="6" w:space="0" w:color="auto"/>
            </w:tcBorders>
            <w:vAlign w:val="bottom"/>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（盖章）申请人：</w:t>
            </w:r>
          </w:p>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时间：</w:t>
            </w:r>
          </w:p>
        </w:tc>
      </w:tr>
      <w:tr w:rsidR="00366815" w:rsidRPr="00366815" w:rsidTr="00366815">
        <w:trPr>
          <w:tblCellSpacing w:w="0"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运维公司意见</w:t>
            </w:r>
          </w:p>
        </w:tc>
        <w:tc>
          <w:tcPr>
            <w:tcW w:w="9015" w:type="dxa"/>
            <w:gridSpan w:val="9"/>
            <w:tcBorders>
              <w:top w:val="outset" w:sz="6" w:space="0" w:color="auto"/>
              <w:left w:val="outset" w:sz="6" w:space="0" w:color="auto"/>
              <w:bottom w:val="outset" w:sz="6" w:space="0" w:color="auto"/>
              <w:right w:val="outset" w:sz="6" w:space="0" w:color="auto"/>
            </w:tcBorders>
            <w:vAlign w:val="bottom"/>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（盖章）签名：</w:t>
            </w:r>
          </w:p>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时间：</w:t>
            </w:r>
          </w:p>
        </w:tc>
      </w:tr>
      <w:tr w:rsidR="00366815" w:rsidRPr="00366815" w:rsidTr="00366815">
        <w:trPr>
          <w:tblCellSpacing w:w="0"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当地环</w:t>
            </w:r>
            <w:r w:rsidRPr="00366815">
              <w:rPr>
                <w:rFonts w:ascii="宋体" w:eastAsia="宋体" w:hAnsi="宋体" w:cs="宋体" w:hint="eastAsia"/>
                <w:color w:val="282828"/>
                <w:kern w:val="0"/>
                <w:sz w:val="20"/>
                <w:szCs w:val="20"/>
              </w:rPr>
              <w:lastRenderedPageBreak/>
              <w:t>保局意见</w:t>
            </w:r>
          </w:p>
        </w:tc>
        <w:tc>
          <w:tcPr>
            <w:tcW w:w="9015" w:type="dxa"/>
            <w:gridSpan w:val="9"/>
            <w:tcBorders>
              <w:top w:val="outset" w:sz="6" w:space="0" w:color="auto"/>
              <w:left w:val="outset" w:sz="6" w:space="0" w:color="auto"/>
              <w:bottom w:val="outset" w:sz="6" w:space="0" w:color="auto"/>
              <w:right w:val="outset" w:sz="6" w:space="0" w:color="auto"/>
            </w:tcBorders>
            <w:vAlign w:val="bottom"/>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lastRenderedPageBreak/>
              <w:t>                                   （盖章）签名：</w:t>
            </w:r>
          </w:p>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                                           时间：</w:t>
            </w:r>
          </w:p>
        </w:tc>
      </w:tr>
      <w:tr w:rsidR="00366815" w:rsidRPr="00366815" w:rsidTr="00366815">
        <w:trPr>
          <w:tblCellSpacing w:w="0" w:type="dxa"/>
          <w:jc w:val="center"/>
        </w:trPr>
        <w:tc>
          <w:tcPr>
            <w:tcW w:w="435" w:type="dxa"/>
            <w:tcBorders>
              <w:top w:val="outset" w:sz="6" w:space="0" w:color="auto"/>
              <w:left w:val="outset" w:sz="6" w:space="0" w:color="auto"/>
              <w:bottom w:val="outset" w:sz="6" w:space="0" w:color="auto"/>
              <w:right w:val="outset" w:sz="6" w:space="0" w:color="auto"/>
            </w:tcBorders>
            <w:vAlign w:val="center"/>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lastRenderedPageBreak/>
              <w:t>停运要求</w:t>
            </w:r>
          </w:p>
        </w:tc>
        <w:tc>
          <w:tcPr>
            <w:tcW w:w="4260" w:type="dxa"/>
            <w:gridSpan w:val="4"/>
            <w:tcBorders>
              <w:top w:val="outset" w:sz="6" w:space="0" w:color="auto"/>
              <w:left w:val="outset" w:sz="6" w:space="0" w:color="auto"/>
              <w:bottom w:val="outset" w:sz="6" w:space="0" w:color="auto"/>
              <w:right w:val="outset" w:sz="6" w:space="0" w:color="auto"/>
            </w:tcBorders>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短期</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1、停运期间企业应保持视频监控正常运转；</w:t>
            </w:r>
          </w:p>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2、环境监管部门应增加对非停产企业的监察频次。</w:t>
            </w:r>
          </w:p>
        </w:tc>
        <w:tc>
          <w:tcPr>
            <w:tcW w:w="4740" w:type="dxa"/>
            <w:gridSpan w:val="5"/>
            <w:tcBorders>
              <w:top w:val="outset" w:sz="6" w:space="0" w:color="auto"/>
              <w:left w:val="outset" w:sz="6" w:space="0" w:color="auto"/>
              <w:bottom w:val="outset" w:sz="6" w:space="0" w:color="auto"/>
              <w:right w:val="outset" w:sz="6" w:space="0" w:color="auto"/>
            </w:tcBorders>
            <w:hideMark/>
          </w:tcPr>
          <w:p w:rsidR="00366815" w:rsidRPr="00366815" w:rsidRDefault="00366815" w:rsidP="00366815">
            <w:pPr>
              <w:widowControl/>
              <w:spacing w:line="432" w:lineRule="auto"/>
              <w:jc w:val="center"/>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长期</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1、停运期间企业应保持视频监控正常运转；</w:t>
            </w:r>
          </w:p>
          <w:p w:rsidR="00366815" w:rsidRPr="00366815" w:rsidRDefault="00366815" w:rsidP="00366815">
            <w:pPr>
              <w:widowControl/>
              <w:spacing w:line="432" w:lineRule="auto"/>
              <w:jc w:val="left"/>
              <w:rPr>
                <w:rFonts w:ascii="宋体" w:eastAsia="宋体" w:hAnsi="宋体" w:cs="宋体" w:hint="eastAsia"/>
                <w:color w:val="282828"/>
                <w:kern w:val="0"/>
                <w:sz w:val="20"/>
                <w:szCs w:val="20"/>
              </w:rPr>
            </w:pPr>
            <w:r w:rsidRPr="00366815">
              <w:rPr>
                <w:rFonts w:ascii="宋体" w:eastAsia="宋体" w:hAnsi="宋体" w:cs="宋体" w:hint="eastAsia"/>
                <w:color w:val="282828"/>
                <w:kern w:val="0"/>
                <w:sz w:val="20"/>
                <w:szCs w:val="20"/>
              </w:rPr>
              <w:t>2、环境监管部门应增加对非停产企业的监察频次，</w:t>
            </w:r>
          </w:p>
          <w:p w:rsidR="00366815" w:rsidRPr="00366815" w:rsidRDefault="00366815" w:rsidP="00366815">
            <w:pPr>
              <w:widowControl/>
              <w:spacing w:line="432" w:lineRule="auto"/>
              <w:jc w:val="left"/>
              <w:rPr>
                <w:rFonts w:ascii="宋体" w:eastAsia="宋体" w:hAnsi="宋体" w:cs="宋体"/>
                <w:color w:val="282828"/>
                <w:kern w:val="0"/>
                <w:sz w:val="20"/>
                <w:szCs w:val="20"/>
              </w:rPr>
            </w:pPr>
            <w:r w:rsidRPr="00366815">
              <w:rPr>
                <w:rFonts w:ascii="宋体" w:eastAsia="宋体" w:hAnsi="宋体" w:cs="宋体" w:hint="eastAsia"/>
                <w:color w:val="282828"/>
                <w:kern w:val="0"/>
                <w:sz w:val="20"/>
                <w:szCs w:val="20"/>
              </w:rPr>
              <w:t>3、并告之被监控企业再次启运时应配合在线监控运维单位在七个工作日内完成调试比对，并由有监测资质单位出具比对报告。</w:t>
            </w:r>
          </w:p>
        </w:tc>
      </w:tr>
    </w:tbl>
    <w:p w:rsidR="007B1FEF" w:rsidRDefault="007B1FEF">
      <w:bookmarkStart w:id="3" w:name="_GoBack"/>
      <w:bookmarkEnd w:id="3"/>
    </w:p>
    <w:sectPr w:rsidR="007B1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90C"/>
    <w:rsid w:val="00366815"/>
    <w:rsid w:val="007B1FEF"/>
    <w:rsid w:val="00CA3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366815"/>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366815"/>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60878">
      <w:bodyDiv w:val="1"/>
      <w:marLeft w:val="0"/>
      <w:marRight w:val="0"/>
      <w:marTop w:val="0"/>
      <w:marBottom w:val="0"/>
      <w:divBdr>
        <w:top w:val="none" w:sz="0" w:space="0" w:color="auto"/>
        <w:left w:val="none" w:sz="0" w:space="0" w:color="auto"/>
        <w:bottom w:val="none" w:sz="0" w:space="0" w:color="auto"/>
        <w:right w:val="none" w:sz="0" w:space="0" w:color="auto"/>
      </w:divBdr>
      <w:divsChild>
        <w:div w:id="1216238294">
          <w:marLeft w:val="0"/>
          <w:marRight w:val="0"/>
          <w:marTop w:val="0"/>
          <w:marBottom w:val="0"/>
          <w:divBdr>
            <w:top w:val="none" w:sz="0" w:space="0" w:color="auto"/>
            <w:left w:val="none" w:sz="0" w:space="0" w:color="auto"/>
            <w:bottom w:val="none" w:sz="0" w:space="0" w:color="auto"/>
            <w:right w:val="none" w:sz="0" w:space="0" w:color="auto"/>
          </w:divBdr>
          <w:divsChild>
            <w:div w:id="1020280324">
              <w:marLeft w:val="0"/>
              <w:marRight w:val="0"/>
              <w:marTop w:val="0"/>
              <w:marBottom w:val="0"/>
              <w:divBdr>
                <w:top w:val="none" w:sz="0" w:space="0" w:color="auto"/>
                <w:left w:val="none" w:sz="0" w:space="0" w:color="auto"/>
                <w:bottom w:val="none" w:sz="0" w:space="0" w:color="auto"/>
                <w:right w:val="none" w:sz="0" w:space="0" w:color="auto"/>
              </w:divBdr>
              <w:divsChild>
                <w:div w:id="789276507">
                  <w:marLeft w:val="0"/>
                  <w:marRight w:val="0"/>
                  <w:marTop w:val="0"/>
                  <w:marBottom w:val="0"/>
                  <w:divBdr>
                    <w:top w:val="none" w:sz="0" w:space="0" w:color="auto"/>
                    <w:left w:val="none" w:sz="0" w:space="0" w:color="auto"/>
                    <w:bottom w:val="none" w:sz="0" w:space="0" w:color="auto"/>
                    <w:right w:val="none" w:sz="0" w:space="0" w:color="auto"/>
                  </w:divBdr>
                  <w:divsChild>
                    <w:div w:id="1521357039">
                      <w:marLeft w:val="0"/>
                      <w:marRight w:val="0"/>
                      <w:marTop w:val="0"/>
                      <w:marBottom w:val="0"/>
                      <w:divBdr>
                        <w:top w:val="none" w:sz="0" w:space="0" w:color="auto"/>
                        <w:left w:val="none" w:sz="0" w:space="0" w:color="auto"/>
                        <w:bottom w:val="none" w:sz="0" w:space="0" w:color="auto"/>
                        <w:right w:val="none" w:sz="0" w:space="0" w:color="auto"/>
                      </w:divBdr>
                      <w:divsChild>
                        <w:div w:id="1493565929">
                          <w:marLeft w:val="0"/>
                          <w:marRight w:val="0"/>
                          <w:marTop w:val="0"/>
                          <w:marBottom w:val="0"/>
                          <w:divBdr>
                            <w:top w:val="none" w:sz="0" w:space="0" w:color="auto"/>
                            <w:left w:val="none" w:sz="0" w:space="0" w:color="auto"/>
                            <w:bottom w:val="none" w:sz="0" w:space="0" w:color="auto"/>
                            <w:right w:val="none" w:sz="0" w:space="0" w:color="auto"/>
                          </w:divBdr>
                          <w:divsChild>
                            <w:div w:id="6783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2018-05-10T02:26:00Z</dcterms:created>
  <dcterms:modified xsi:type="dcterms:W3CDTF">2018-05-10T02:26:00Z</dcterms:modified>
</cp:coreProperties>
</file>